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A4" w:rsidRDefault="00CD31A4" w:rsidP="00CD31A4">
      <w:pPr>
        <w:pStyle w:val="a3"/>
        <w:shd w:val="clear" w:color="auto" w:fill="548DD4"/>
        <w:tabs>
          <w:tab w:val="center" w:pos="4819"/>
        </w:tabs>
        <w:autoSpaceDE w:val="0"/>
        <w:jc w:val="center"/>
      </w:pPr>
      <w:r>
        <w:rPr>
          <w:rFonts w:ascii="Times New Roman" w:eastAsia="Calibri-Bold" w:hAnsi="Times New Roman"/>
          <w:b/>
          <w:bCs/>
          <w:sz w:val="28"/>
          <w:szCs w:val="18"/>
        </w:rPr>
        <w:t>Π Α Ρ Α Ρ Τ Η Μ Α         ΙΙΙ</w:t>
      </w:r>
    </w:p>
    <w:p w:rsidR="00CD31A4" w:rsidRDefault="00CD31A4" w:rsidP="00CD31A4">
      <w:pPr>
        <w:spacing w:after="0"/>
        <w:jc w:val="center"/>
        <w:rPr>
          <w:rFonts w:ascii="Times New Roman" w:eastAsia="Calibri-Bold" w:hAnsi="Times New Roman" w:cs="Times New Roman"/>
          <w:b/>
          <w:bCs/>
          <w:i/>
          <w:sz w:val="24"/>
          <w:szCs w:val="18"/>
          <w:u w:val="single"/>
          <w:lang w:eastAsia="en-US"/>
        </w:rPr>
      </w:pPr>
    </w:p>
    <w:p w:rsidR="00CD31A4" w:rsidRDefault="00CD31A4" w:rsidP="00CD31A4">
      <w:pPr>
        <w:tabs>
          <w:tab w:val="left" w:pos="3706"/>
        </w:tabs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i/>
          <w:shadow/>
          <w:spacing w:val="40"/>
          <w:sz w:val="24"/>
          <w:szCs w:val="18"/>
          <w:u w:val="single"/>
        </w:rPr>
        <w:t>ΥΠΟΔΕΙΓΜΑ ΟΙΚΟΝΟΜΙΚΗΣ ΠΡΟΣΦΟΡΑΣ</w:t>
      </w:r>
    </w:p>
    <w:p w:rsidR="00CD31A4" w:rsidRDefault="00CD31A4" w:rsidP="00CD31A4">
      <w:pPr>
        <w:shd w:val="clear" w:color="auto" w:fill="FFFFFF"/>
        <w:tabs>
          <w:tab w:val="left" w:pos="974"/>
        </w:tabs>
        <w:spacing w:before="288" w:line="288" w:lineRule="exact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16510</wp:posOffset>
            </wp:positionV>
            <wp:extent cx="652780" cy="652780"/>
            <wp:effectExtent l="19050" t="0" r="0" b="0"/>
            <wp:wrapSquare wrapText="largest"/>
            <wp:docPr id="1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1A4" w:rsidRDefault="00CD31A4" w:rsidP="00CD31A4">
      <w:pPr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</w:p>
    <w:p w:rsidR="00CD31A4" w:rsidRPr="00F960B3" w:rsidRDefault="00CD31A4" w:rsidP="00CD31A4">
      <w:pPr>
        <w:tabs>
          <w:tab w:val="left" w:pos="6300"/>
        </w:tabs>
        <w:spacing w:after="0" w:line="240" w:lineRule="auto"/>
        <w:ind w:left="-709"/>
        <w:jc w:val="center"/>
        <w:rPr>
          <w:rFonts w:eastAsia="Arial"/>
          <w:b/>
          <w:color w:val="00000A"/>
          <w:sz w:val="24"/>
          <w:szCs w:val="24"/>
          <w:u w:val="double"/>
          <w:lang w:eastAsia="el-GR"/>
        </w:rPr>
      </w:pPr>
    </w:p>
    <w:p w:rsidR="00CD31A4" w:rsidRDefault="00CD31A4" w:rsidP="00CD31A4">
      <w:pPr>
        <w:tabs>
          <w:tab w:val="left" w:pos="900"/>
          <w:tab w:val="center" w:pos="4819"/>
        </w:tabs>
      </w:pPr>
    </w:p>
    <w:tbl>
      <w:tblPr>
        <w:tblW w:w="11280" w:type="dxa"/>
        <w:tblInd w:w="-5" w:type="dxa"/>
        <w:tblLayout w:type="fixed"/>
        <w:tblCellMar>
          <w:left w:w="98" w:type="dxa"/>
        </w:tblCellMar>
        <w:tblLook w:val="0000"/>
      </w:tblPr>
      <w:tblGrid>
        <w:gridCol w:w="11280"/>
      </w:tblGrid>
      <w:tr w:rsidR="00CD31A4" w:rsidTr="0083711C">
        <w:tc>
          <w:tcPr>
            <w:tcW w:w="1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D31A4" w:rsidRDefault="00CD31A4" w:rsidP="00CD31A4">
            <w:pPr>
              <w:widowControl w:val="0"/>
              <w:spacing w:line="240" w:lineRule="auto"/>
              <w:rPr>
                <w:b/>
                <w:bCs/>
                <w:lang w:eastAsia="el-GR"/>
              </w:rPr>
            </w:pPr>
            <w:r>
              <w:rPr>
                <w:b/>
                <w:bCs/>
                <w:lang w:eastAsia="el-GR"/>
              </w:rPr>
              <w:t>ΕΛΛΗΝΙΚΗ ΔΗΜΟΚΡΑΤΙΑ</w:t>
            </w:r>
          </w:p>
          <w:p w:rsidR="00CD31A4" w:rsidRPr="005E4999" w:rsidRDefault="00CD31A4" w:rsidP="00CD31A4">
            <w:pPr>
              <w:widowControl w:val="0"/>
              <w:spacing w:line="240" w:lineRule="auto"/>
              <w:ind w:right="579"/>
              <w:rPr>
                <w:b/>
                <w:bCs/>
                <w:lang w:eastAsia="el-GR"/>
              </w:rPr>
            </w:pPr>
            <w:r>
              <w:rPr>
                <w:b/>
                <w:bCs/>
                <w:lang w:eastAsia="el-GR"/>
              </w:rPr>
              <w:t xml:space="preserve">ΝΟΜΟΣ ΑΤΤΙΚΗΣ                                                          </w:t>
            </w:r>
            <w:r w:rsidRPr="005E4999">
              <w:rPr>
                <w:b/>
                <w:bCs/>
                <w:lang w:eastAsia="el-GR"/>
              </w:rPr>
              <w:t>ΠΡΟΜΗΘΕΙΑ</w:t>
            </w:r>
            <w:r>
              <w:rPr>
                <w:b/>
                <w:bCs/>
                <w:lang w:eastAsia="el-GR"/>
              </w:rPr>
              <w:t>:   « Προμήθεια  Ανάδειξης  Προμηθευτών</w:t>
            </w:r>
          </w:p>
          <w:p w:rsidR="00CD31A4" w:rsidRDefault="00CD31A4" w:rsidP="00CD31A4">
            <w:pPr>
              <w:widowControl w:val="0"/>
              <w:spacing w:line="240" w:lineRule="auto"/>
              <w:rPr>
                <w:b/>
                <w:bCs/>
                <w:lang w:eastAsia="el-GR"/>
              </w:rPr>
            </w:pPr>
            <w:r>
              <w:rPr>
                <w:b/>
                <w:bCs/>
                <w:lang w:eastAsia="el-GR"/>
              </w:rPr>
              <w:t xml:space="preserve">ΔΗΜΟΣ ΑΘΗΝΑΙΩΝ                                                                                     - Χορηγητών  υγρών  καυσίμων  και     </w:t>
            </w:r>
          </w:p>
          <w:p w:rsidR="00CD31A4" w:rsidRPr="00CF39F8" w:rsidRDefault="00CD31A4" w:rsidP="00CD31A4">
            <w:pPr>
              <w:widowControl w:val="0"/>
              <w:spacing w:line="240" w:lineRule="auto"/>
              <w:rPr>
                <w:b/>
                <w:bCs/>
                <w:lang w:eastAsia="el-GR"/>
              </w:rPr>
            </w:pPr>
            <w:r>
              <w:rPr>
                <w:b/>
                <w:bCs/>
                <w:lang w:eastAsia="el-GR"/>
              </w:rPr>
              <w:t>ΓΕΝΙΚΗ ΔΙΕΥΘΥΝΣΗ ΤΕΧΝΙΚΩΝ ΥΠΗΡΕΣΙΩΝ ΚΑΙ ΕΡΓΩΝ                       Φυσικού αερίου  κίνησης,  για  την</w:t>
            </w:r>
          </w:p>
          <w:p w:rsidR="00CD31A4" w:rsidRDefault="00CD31A4" w:rsidP="00CD31A4">
            <w:pPr>
              <w:widowControl w:val="0"/>
              <w:spacing w:line="240" w:lineRule="auto"/>
              <w:rPr>
                <w:b/>
                <w:bCs/>
                <w:lang w:eastAsia="el-GR"/>
              </w:rPr>
            </w:pPr>
            <w:r>
              <w:rPr>
                <w:b/>
                <w:bCs/>
                <w:lang w:eastAsia="el-GR"/>
              </w:rPr>
              <w:t xml:space="preserve">Δ/ΝΣΗ ΜΗΧΑΝΟΛΟΓΙΚΟΥ                                                                           κάλυψη των αναγκών  του  Δήμου </w:t>
            </w:r>
          </w:p>
          <w:p w:rsidR="00CD31A4" w:rsidRDefault="00CD31A4" w:rsidP="00CD31A4">
            <w:pPr>
              <w:widowControl w:val="0"/>
              <w:spacing w:line="240" w:lineRule="auto"/>
              <w:rPr>
                <w:b/>
                <w:bCs/>
                <w:lang w:eastAsia="el-GR"/>
              </w:rPr>
            </w:pPr>
            <w:r>
              <w:rPr>
                <w:b/>
                <w:bCs/>
                <w:lang w:eastAsia="el-GR"/>
              </w:rPr>
              <w:t>ΤΜΗΜΑ ΜΕΛΕΤΩΝ, ΠΡΟΓΡΑΜΜΑΤΙΣΜΟΥ ΔΙΟΙΚΗΤΙΚΗΣ                    Αθηναίων και των Δημοσυντήρητων</w:t>
            </w:r>
          </w:p>
          <w:p w:rsidR="00CD31A4" w:rsidRDefault="00CD31A4" w:rsidP="00CD31A4">
            <w:pPr>
              <w:widowControl w:val="0"/>
              <w:spacing w:line="240" w:lineRule="auto"/>
              <w:rPr>
                <w:b/>
                <w:bCs/>
                <w:lang w:eastAsia="el-GR"/>
              </w:rPr>
            </w:pPr>
            <w:r>
              <w:rPr>
                <w:b/>
                <w:bCs/>
                <w:lang w:eastAsia="el-GR"/>
              </w:rPr>
              <w:t>ΥΠΟΣΤΗΡΙΞΗΣ ΚΑΙ ΗΛΕΚΤΡΟΝΙΚΗΣ ΔΙΑΚΥΒΕΡΝΗΣΗΣ                            Φορέων του  (ΔΒΑ &amp; ΟΠΑΝΔΑ), για</w:t>
            </w:r>
          </w:p>
          <w:p w:rsidR="00CD31A4" w:rsidRDefault="00CD31A4" w:rsidP="00CD31A4">
            <w:pPr>
              <w:widowControl w:val="0"/>
              <w:spacing w:line="240" w:lineRule="auto"/>
              <w:rPr>
                <w:b/>
                <w:bCs/>
                <w:lang w:eastAsia="el-GR"/>
              </w:rPr>
            </w:pPr>
            <w:proofErr w:type="spellStart"/>
            <w:r>
              <w:rPr>
                <w:b/>
                <w:bCs/>
                <w:lang w:eastAsia="el-GR"/>
              </w:rPr>
              <w:t>Ταχ</w:t>
            </w:r>
            <w:proofErr w:type="spellEnd"/>
            <w:r>
              <w:rPr>
                <w:b/>
                <w:bCs/>
                <w:lang w:eastAsia="el-GR"/>
              </w:rPr>
              <w:t>. Δ/</w:t>
            </w:r>
            <w:proofErr w:type="spellStart"/>
            <w:r>
              <w:rPr>
                <w:b/>
                <w:bCs/>
                <w:lang w:eastAsia="el-GR"/>
              </w:rPr>
              <w:t>νση:</w:t>
            </w:r>
            <w:proofErr w:type="spellEnd"/>
            <w:r>
              <w:rPr>
                <w:b/>
                <w:bCs/>
                <w:lang w:eastAsia="el-GR"/>
              </w:rPr>
              <w:t xml:space="preserve">      Ιερά Οδός 151                                                                     την  περίοδο  2024 - 2025».</w:t>
            </w:r>
          </w:p>
        </w:tc>
      </w:tr>
      <w:tr w:rsidR="00CD31A4" w:rsidTr="0083711C">
        <w:tc>
          <w:tcPr>
            <w:tcW w:w="1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D31A4" w:rsidRDefault="00CD31A4" w:rsidP="00CD31A4">
            <w:pPr>
              <w:widowControl w:val="0"/>
              <w:spacing w:line="240" w:lineRule="auto"/>
              <w:rPr>
                <w:b/>
                <w:bCs/>
                <w:lang w:eastAsia="el-GR"/>
              </w:rPr>
            </w:pPr>
            <w:proofErr w:type="spellStart"/>
            <w:r>
              <w:rPr>
                <w:b/>
                <w:bCs/>
                <w:lang w:eastAsia="el-GR"/>
              </w:rPr>
              <w:t>Ταχ</w:t>
            </w:r>
            <w:proofErr w:type="spellEnd"/>
            <w:r>
              <w:rPr>
                <w:b/>
                <w:bCs/>
                <w:lang w:eastAsia="el-GR"/>
              </w:rPr>
              <w:t>. Κώδικας: 122-41</w:t>
            </w:r>
          </w:p>
        </w:tc>
      </w:tr>
      <w:tr w:rsidR="00CD31A4" w:rsidRPr="00976A3E" w:rsidTr="0083711C">
        <w:tc>
          <w:tcPr>
            <w:tcW w:w="1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tbl>
            <w:tblPr>
              <w:tblW w:w="11280" w:type="dxa"/>
              <w:tblLayout w:type="fixed"/>
              <w:tblCellMar>
                <w:left w:w="98" w:type="dxa"/>
              </w:tblCellMar>
              <w:tblLook w:val="0000"/>
            </w:tblPr>
            <w:tblGrid>
              <w:gridCol w:w="11280"/>
            </w:tblGrid>
            <w:tr w:rsidR="00CD31A4" w:rsidTr="0083711C">
              <w:tc>
                <w:tcPr>
                  <w:tcW w:w="112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</w:tcPr>
                <w:p w:rsidR="00CD31A4" w:rsidRDefault="00CD31A4" w:rsidP="00CD31A4">
                  <w:pPr>
                    <w:widowControl w:val="0"/>
                    <w:spacing w:line="240" w:lineRule="auto"/>
                    <w:rPr>
                      <w:b/>
                      <w:bCs/>
                      <w:lang w:eastAsia="el-GR"/>
                    </w:rPr>
                  </w:pPr>
                  <w:r>
                    <w:rPr>
                      <w:b/>
                      <w:bCs/>
                      <w:lang w:eastAsia="el-GR"/>
                    </w:rPr>
                    <w:t xml:space="preserve">Πληροφορίες: </w:t>
                  </w:r>
                  <w:proofErr w:type="spellStart"/>
                  <w:r>
                    <w:rPr>
                      <w:b/>
                      <w:bCs/>
                      <w:lang w:eastAsia="el-GR"/>
                    </w:rPr>
                    <w:t>Βαρθαλίτης</w:t>
                  </w:r>
                  <w:proofErr w:type="spellEnd"/>
                  <w:r>
                    <w:rPr>
                      <w:b/>
                      <w:bCs/>
                      <w:lang w:eastAsia="el-GR"/>
                    </w:rPr>
                    <w:t xml:space="preserve"> Αλέξανδρος </w:t>
                  </w:r>
                </w:p>
              </w:tc>
            </w:tr>
            <w:tr w:rsidR="00CD31A4" w:rsidTr="0083711C">
              <w:tc>
                <w:tcPr>
                  <w:tcW w:w="112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</w:tcPr>
                <w:p w:rsidR="00CD31A4" w:rsidRDefault="00CD31A4" w:rsidP="00CD31A4">
                  <w:pPr>
                    <w:widowControl w:val="0"/>
                    <w:spacing w:line="240" w:lineRule="auto"/>
                    <w:rPr>
                      <w:b/>
                      <w:bCs/>
                      <w:lang w:eastAsia="el-GR"/>
                    </w:rPr>
                  </w:pPr>
                  <w:proofErr w:type="spellStart"/>
                  <w:r>
                    <w:rPr>
                      <w:b/>
                      <w:bCs/>
                      <w:lang w:eastAsia="el-GR"/>
                    </w:rPr>
                    <w:t>Τηλ</w:t>
                  </w:r>
                  <w:proofErr w:type="spellEnd"/>
                  <w:r>
                    <w:rPr>
                      <w:b/>
                      <w:bCs/>
                      <w:lang w:eastAsia="el-GR"/>
                    </w:rPr>
                    <w:t>.: 210-3422416</w:t>
                  </w:r>
                </w:p>
              </w:tc>
            </w:tr>
            <w:tr w:rsidR="00CD31A4" w:rsidRPr="00976A3E" w:rsidTr="0083711C">
              <w:tc>
                <w:tcPr>
                  <w:tcW w:w="112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</w:tcPr>
                <w:p w:rsidR="00CD31A4" w:rsidRDefault="00CD31A4" w:rsidP="00CD31A4">
                  <w:pPr>
                    <w:widowControl w:val="0"/>
                    <w:spacing w:line="240" w:lineRule="auto"/>
                    <w:rPr>
                      <w:b/>
                      <w:bCs/>
                      <w:lang w:val="en-US" w:eastAsia="el-GR"/>
                    </w:rPr>
                  </w:pPr>
                  <w:r>
                    <w:rPr>
                      <w:b/>
                      <w:bCs/>
                      <w:lang w:val="en-US" w:eastAsia="el-GR"/>
                    </w:rPr>
                    <w:t xml:space="preserve">e-mail : a.varthalitis@athens.gr </w:t>
                  </w:r>
                </w:p>
              </w:tc>
            </w:tr>
          </w:tbl>
          <w:p w:rsidR="00CD31A4" w:rsidRPr="005E4999" w:rsidRDefault="00CD31A4" w:rsidP="00CD31A4">
            <w:pPr>
              <w:widowControl w:val="0"/>
              <w:spacing w:line="240" w:lineRule="auto"/>
              <w:rPr>
                <w:b/>
                <w:bCs/>
                <w:lang w:val="en-US" w:eastAsia="el-GR"/>
              </w:rPr>
            </w:pPr>
          </w:p>
        </w:tc>
      </w:tr>
      <w:tr w:rsidR="00CD31A4" w:rsidRPr="00976A3E" w:rsidTr="0083711C">
        <w:tc>
          <w:tcPr>
            <w:tcW w:w="1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D31A4" w:rsidRPr="00395C39" w:rsidRDefault="00CD31A4" w:rsidP="00CD31A4">
            <w:pPr>
              <w:widowControl w:val="0"/>
              <w:spacing w:line="240" w:lineRule="auto"/>
              <w:rPr>
                <w:b/>
                <w:bCs/>
                <w:lang w:val="en-US" w:eastAsia="el-GR"/>
              </w:rPr>
            </w:pPr>
          </w:p>
        </w:tc>
      </w:tr>
    </w:tbl>
    <w:p w:rsidR="00CD31A4" w:rsidRPr="001E5F0E" w:rsidRDefault="00CD31A4" w:rsidP="00CD31A4">
      <w:pPr>
        <w:jc w:val="center"/>
        <w:outlineLvl w:val="0"/>
        <w:rPr>
          <w:rFonts w:cs="Arial"/>
          <w:b/>
          <w:sz w:val="28"/>
          <w:szCs w:val="28"/>
          <w:u w:val="double"/>
        </w:rPr>
      </w:pPr>
      <w:r w:rsidRPr="001E5F0E">
        <w:rPr>
          <w:rFonts w:cs="Arial"/>
          <w:b/>
          <w:sz w:val="28"/>
          <w:szCs w:val="28"/>
          <w:u w:val="double"/>
        </w:rPr>
        <w:t>ΕΝΤΥΠΟ ΟΙΚΟΝΟΜΙΚΗΣ ΠΡΟΣΦΟΡΑΣ</w:t>
      </w:r>
    </w:p>
    <w:p w:rsidR="00CD31A4" w:rsidRDefault="00CD31A4" w:rsidP="00CD31A4">
      <w:pPr>
        <w:jc w:val="center"/>
        <w:outlineLvl w:val="0"/>
        <w:rPr>
          <w:rFonts w:cs="Arial"/>
          <w:b/>
          <w:u w:val="double"/>
        </w:rPr>
      </w:pPr>
      <w:r>
        <w:rPr>
          <w:rFonts w:cs="Arial"/>
          <w:b/>
          <w:u w:val="double"/>
        </w:rPr>
        <w:t xml:space="preserve"> </w:t>
      </w:r>
    </w:p>
    <w:p w:rsidR="00CD31A4" w:rsidRPr="005E4999" w:rsidRDefault="00CD31A4" w:rsidP="00CD31A4">
      <w:pPr>
        <w:jc w:val="both"/>
        <w:rPr>
          <w:bCs/>
          <w:color w:val="000000"/>
          <w:kern w:val="2"/>
          <w:lang w:eastAsia="el-GR" w:bidi="hi-IN"/>
        </w:rPr>
      </w:pPr>
      <w:r>
        <w:rPr>
          <w:rFonts w:cs="Arial"/>
        </w:rPr>
        <w:t xml:space="preserve">       </w:t>
      </w:r>
      <w:r w:rsidRPr="005E4999">
        <w:rPr>
          <w:bCs/>
          <w:color w:val="000000"/>
          <w:kern w:val="2"/>
          <w:lang w:eastAsia="el-GR" w:bidi="hi-IN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</w:t>
      </w:r>
      <w:r>
        <w:rPr>
          <w:bCs/>
          <w:color w:val="000000"/>
          <w:kern w:val="2"/>
          <w:lang w:eastAsia="el-GR" w:bidi="hi-IN"/>
        </w:rPr>
        <w:t xml:space="preserve">  </w:t>
      </w:r>
      <w:proofErr w:type="spellStart"/>
      <w:r w:rsidRPr="005E4999">
        <w:rPr>
          <w:bCs/>
          <w:color w:val="000000"/>
          <w:kern w:val="2"/>
          <w:lang w:eastAsia="el-GR" w:bidi="hi-IN"/>
        </w:rPr>
        <w:t>Ταχ</w:t>
      </w:r>
      <w:proofErr w:type="spellEnd"/>
      <w:r w:rsidRPr="005E4999">
        <w:rPr>
          <w:bCs/>
          <w:color w:val="000000"/>
          <w:kern w:val="2"/>
          <w:lang w:eastAsia="el-GR" w:bidi="hi-IN"/>
        </w:rPr>
        <w:t>/</w:t>
      </w:r>
      <w:proofErr w:type="spellStart"/>
      <w:r w:rsidRPr="005E4999">
        <w:rPr>
          <w:bCs/>
          <w:color w:val="000000"/>
          <w:kern w:val="2"/>
          <w:lang w:eastAsia="el-GR" w:bidi="hi-IN"/>
        </w:rPr>
        <w:t>κή</w:t>
      </w:r>
      <w:proofErr w:type="spellEnd"/>
      <w:r>
        <w:rPr>
          <w:bCs/>
          <w:color w:val="000000"/>
          <w:kern w:val="2"/>
          <w:lang w:eastAsia="el-GR" w:bidi="hi-IN"/>
        </w:rPr>
        <w:t xml:space="preserve">  </w:t>
      </w:r>
      <w:r w:rsidRPr="005E4999">
        <w:rPr>
          <w:bCs/>
          <w:color w:val="000000"/>
          <w:kern w:val="2"/>
          <w:lang w:eastAsia="el-GR" w:bidi="hi-IN"/>
        </w:rPr>
        <w:t xml:space="preserve"> Δ/νση ………………………….……………………… </w:t>
      </w:r>
      <w:proofErr w:type="spellStart"/>
      <w:r w:rsidRPr="005E4999">
        <w:rPr>
          <w:bCs/>
          <w:color w:val="000000"/>
          <w:kern w:val="2"/>
          <w:lang w:eastAsia="el-GR" w:bidi="hi-IN"/>
        </w:rPr>
        <w:t>Τηλ</w:t>
      </w:r>
      <w:proofErr w:type="spellEnd"/>
      <w:r w:rsidRPr="005E4999">
        <w:rPr>
          <w:bCs/>
          <w:color w:val="000000"/>
          <w:kern w:val="2"/>
          <w:lang w:eastAsia="el-GR" w:bidi="hi-IN"/>
        </w:rPr>
        <w:t xml:space="preserve">. …….……………………, </w:t>
      </w:r>
      <w:proofErr w:type="spellStart"/>
      <w:r w:rsidRPr="005E4999">
        <w:rPr>
          <w:bCs/>
          <w:color w:val="000000"/>
          <w:kern w:val="2"/>
          <w:lang w:eastAsia="el-GR" w:bidi="hi-IN"/>
        </w:rPr>
        <w:t>email</w:t>
      </w:r>
      <w:proofErr w:type="spellEnd"/>
      <w:r w:rsidRPr="005E4999">
        <w:rPr>
          <w:bCs/>
          <w:color w:val="000000"/>
          <w:kern w:val="2"/>
          <w:lang w:eastAsia="el-GR" w:bidi="hi-IN"/>
        </w:rPr>
        <w:t xml:space="preserve"> ……………………</w:t>
      </w:r>
      <w:r>
        <w:rPr>
          <w:bCs/>
          <w:color w:val="000000"/>
          <w:kern w:val="2"/>
          <w:lang w:eastAsia="el-GR" w:bidi="hi-IN"/>
        </w:rPr>
        <w:t>………</w:t>
      </w:r>
      <w:r w:rsidRPr="005E4999">
        <w:rPr>
          <w:bCs/>
          <w:color w:val="000000"/>
          <w:kern w:val="2"/>
          <w:lang w:eastAsia="el-GR" w:bidi="hi-IN"/>
        </w:rPr>
        <w:t xml:space="preserve">, αφού έλαβα πλήρη γνώση των όρων της υπ’ </w:t>
      </w:r>
      <w:proofErr w:type="spellStart"/>
      <w:r w:rsidRPr="005E4999">
        <w:rPr>
          <w:bCs/>
          <w:color w:val="000000"/>
          <w:kern w:val="2"/>
          <w:lang w:eastAsia="el-GR" w:bidi="hi-IN"/>
        </w:rPr>
        <w:t>αριθμ</w:t>
      </w:r>
      <w:proofErr w:type="spellEnd"/>
      <w:r w:rsidRPr="005E4999">
        <w:rPr>
          <w:bCs/>
          <w:color w:val="000000"/>
          <w:kern w:val="2"/>
          <w:lang w:eastAsia="el-GR" w:bidi="hi-IN"/>
        </w:rPr>
        <w:t xml:space="preserve">. ………. </w:t>
      </w:r>
      <w:r>
        <w:rPr>
          <w:bCs/>
          <w:color w:val="000000"/>
          <w:kern w:val="2"/>
          <w:lang w:eastAsia="el-GR" w:bidi="hi-IN"/>
        </w:rPr>
        <w:t>…..</w:t>
      </w:r>
      <w:r w:rsidRPr="005E4999">
        <w:rPr>
          <w:bCs/>
          <w:color w:val="000000"/>
          <w:kern w:val="2"/>
          <w:lang w:eastAsia="el-GR" w:bidi="hi-IN"/>
        </w:rPr>
        <w:t>Διακήρυξης και των Παραρτημάτων αυτής, τους οποίους αποδέχομαι ανεπιφύλακτα, που αφορούν στην ηλεκτρονική διαδικασία σύναψης</w:t>
      </w:r>
      <w:r>
        <w:rPr>
          <w:bCs/>
          <w:color w:val="000000"/>
          <w:kern w:val="2"/>
          <w:lang w:eastAsia="el-GR" w:bidi="hi-IN"/>
        </w:rPr>
        <w:t xml:space="preserve"> δημόσιας σύμβασης άνω των ορίων</w:t>
      </w:r>
      <w:r w:rsidRPr="005E4999">
        <w:rPr>
          <w:bCs/>
          <w:color w:val="000000"/>
          <w:kern w:val="2"/>
          <w:lang w:eastAsia="el-GR" w:bidi="hi-IN"/>
        </w:rPr>
        <w:t>, για «</w:t>
      </w:r>
      <w:r w:rsidRPr="001E5F0E">
        <w:rPr>
          <w:b/>
          <w:bCs/>
          <w:i/>
          <w:color w:val="000000"/>
          <w:kern w:val="2"/>
          <w:lang w:eastAsia="el-GR" w:bidi="hi-IN"/>
        </w:rPr>
        <w:t>Προμήθεια Ανάδειξης χορηγητών προμηθευτών υγρών καυσίμων, φυσικού αερίου κίνησης  για τις ανάγκες του Δήμου Αθηναίων και των δημοσυντήρητων φορέων  (ΔΒΑ &amp; ΟΠΑΝΔΑ) για την περίοδο 2024- 202</w:t>
      </w:r>
      <w:r w:rsidRPr="00C13F9F">
        <w:rPr>
          <w:b/>
          <w:bCs/>
          <w:i/>
          <w:color w:val="000000"/>
          <w:kern w:val="2"/>
          <w:lang w:eastAsia="el-GR" w:bidi="hi-IN"/>
        </w:rPr>
        <w:t>5</w:t>
      </w:r>
      <w:r w:rsidRPr="005E4999">
        <w:rPr>
          <w:bCs/>
          <w:color w:val="000000"/>
          <w:kern w:val="2"/>
          <w:lang w:eastAsia="el-GR" w:bidi="hi-IN"/>
        </w:rPr>
        <w:t>».</w:t>
      </w:r>
    </w:p>
    <w:p w:rsidR="00CD31A4" w:rsidRDefault="00CD31A4" w:rsidP="00CD31A4">
      <w:pPr>
        <w:jc w:val="both"/>
        <w:rPr>
          <w:bCs/>
          <w:color w:val="000000"/>
          <w:kern w:val="2"/>
          <w:u w:val="single"/>
          <w:lang w:eastAsia="el-GR" w:bidi="hi-IN"/>
        </w:rPr>
      </w:pPr>
      <w:r>
        <w:rPr>
          <w:bCs/>
          <w:color w:val="000000"/>
          <w:kern w:val="2"/>
          <w:lang w:eastAsia="el-GR" w:bidi="hi-IN"/>
        </w:rPr>
        <w:lastRenderedPageBreak/>
        <w:t xml:space="preserve">    </w:t>
      </w:r>
      <w:r w:rsidRPr="005E4999">
        <w:rPr>
          <w:bCs/>
          <w:color w:val="000000"/>
          <w:kern w:val="2"/>
          <w:u w:val="single"/>
          <w:lang w:eastAsia="el-GR" w:bidi="hi-IN"/>
        </w:rPr>
        <w:t xml:space="preserve">Στην τιμή του παρόντος τιμολόγιο, θα περιλαμβάνεται η αξία των καυσίμων, του συμπιεσμένου φυσικού αερίου κίνησης, η μεταφορά σε χώρους που θα υποδείξει η Υπηρεσία, το όφελος του προμηθευτή, καθώς και κάθε </w:t>
      </w:r>
      <w:r w:rsidRPr="00C40CFA">
        <w:rPr>
          <w:bCs/>
          <w:color w:val="000000"/>
          <w:kern w:val="2"/>
          <w:u w:val="single"/>
          <w:lang w:eastAsia="el-GR" w:bidi="hi-IN"/>
        </w:rPr>
        <w:t>κράτηση, σύμφωνα με την κείμενη νομοθεσία.</w:t>
      </w:r>
    </w:p>
    <w:p w:rsidR="00CD31A4" w:rsidRDefault="00CD31A4" w:rsidP="00CD31A4">
      <w:pPr>
        <w:pStyle w:val="Standard"/>
        <w:spacing w:line="276" w:lineRule="auto"/>
        <w:jc w:val="both"/>
        <w:rPr>
          <w:b/>
          <w:bCs/>
          <w:color w:val="000000"/>
          <w:u w:val="single"/>
          <w:lang w:eastAsia="el-GR"/>
        </w:rPr>
      </w:pPr>
    </w:p>
    <w:p w:rsidR="00CD31A4" w:rsidRDefault="00CD31A4" w:rsidP="00CD31A4">
      <w:pPr>
        <w:pStyle w:val="Standard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bidi="ar-SA"/>
        </w:rPr>
      </w:pPr>
      <w:r w:rsidRPr="00764672">
        <w:rPr>
          <w:b/>
          <w:bCs/>
          <w:color w:val="000000"/>
          <w:u w:val="single"/>
          <w:lang w:eastAsia="el-GR"/>
        </w:rPr>
        <w:t>Κριτήριο ανάθεσης</w:t>
      </w:r>
      <w:r w:rsidRPr="00764672">
        <w:rPr>
          <w:b/>
          <w:bCs/>
          <w:color w:val="000000"/>
          <w:lang w:eastAsia="el-GR"/>
        </w:rPr>
        <w:t xml:space="preserve"> </w:t>
      </w:r>
      <w:r w:rsidRPr="00764672">
        <w:rPr>
          <w:bCs/>
          <w:color w:val="000000"/>
          <w:lang w:eastAsia="el-GR"/>
        </w:rPr>
        <w:t>θα είναι η πλέον συμφέρουσα από οικονομική άποψη προσφορά βάσει τιμής</w:t>
      </w:r>
      <w:r>
        <w:rPr>
          <w:bCs/>
          <w:color w:val="000000"/>
          <w:lang w:eastAsia="el-GR"/>
        </w:rPr>
        <w:t>,</w:t>
      </w:r>
      <w:r w:rsidRPr="00764672">
        <w:rPr>
          <w:b/>
          <w:bCs/>
          <w:color w:val="000000"/>
          <w:lang w:eastAsia="el-GR"/>
        </w:rPr>
        <w:t xml:space="preserve"> </w:t>
      </w:r>
      <w:r w:rsidRPr="00764672">
        <w:rPr>
          <w:bCs/>
          <w:color w:val="000000"/>
          <w:lang w:eastAsia="el-GR"/>
        </w:rPr>
        <w:t xml:space="preserve">δηλαδή η μεγαλύτερη </w:t>
      </w:r>
      <w:r w:rsidRPr="00EC3CDA">
        <w:rPr>
          <w:b/>
          <w:bCs/>
          <w:color w:val="000000"/>
          <w:lang w:eastAsia="el-GR"/>
        </w:rPr>
        <w:t xml:space="preserve">επί τοις εκατό (%)  έκπτωση </w:t>
      </w:r>
      <w:r>
        <w:rPr>
          <w:rFonts w:cs="Tahoma"/>
          <w:b/>
          <w:bCs/>
          <w:color w:val="000000"/>
          <w:lang w:eastAsia="el-GR"/>
        </w:rPr>
        <w:t xml:space="preserve">κατά </w:t>
      </w:r>
      <w:r w:rsidRPr="00EC3CDA">
        <w:rPr>
          <w:rFonts w:cs="Tahoma"/>
          <w:b/>
          <w:bCs/>
          <w:color w:val="000000"/>
          <w:lang w:eastAsia="el-GR"/>
        </w:rPr>
        <w:t>άρθρο</w:t>
      </w:r>
      <w:r w:rsidRPr="007E66CA">
        <w:rPr>
          <w:rFonts w:cs="Tahoma"/>
          <w:bCs/>
          <w:color w:val="000000"/>
          <w:lang w:eastAsia="el-GR"/>
        </w:rPr>
        <w:t xml:space="preserve">  του Ενδεικτικού Προϋπολογισμού, και</w:t>
      </w:r>
      <w:r>
        <w:rPr>
          <w:rFonts w:cs="Tahoma"/>
          <w:bCs/>
          <w:color w:val="000000"/>
          <w:lang w:eastAsia="el-GR"/>
        </w:rPr>
        <w:t xml:space="preserve"> </w:t>
      </w:r>
      <w:r>
        <w:rPr>
          <w:bCs/>
          <w:color w:val="000000"/>
          <w:lang w:eastAsia="el-GR"/>
        </w:rPr>
        <w:t>η οποία  θα</w:t>
      </w:r>
      <w:r w:rsidRPr="00764672">
        <w:rPr>
          <w:bCs/>
          <w:color w:val="000000"/>
          <w:lang w:eastAsia="el-GR"/>
        </w:rPr>
        <w:t xml:space="preserve"> </w:t>
      </w:r>
      <w:r>
        <w:rPr>
          <w:bCs/>
          <w:color w:val="000000"/>
          <w:lang w:eastAsia="el-GR"/>
        </w:rPr>
        <w:t xml:space="preserve"> </w:t>
      </w:r>
      <w:r w:rsidRPr="00764672">
        <w:rPr>
          <w:bCs/>
          <w:color w:val="000000"/>
          <w:lang w:eastAsia="el-GR"/>
        </w:rPr>
        <w:t>διαμορφωθεί ως εξής</w:t>
      </w:r>
      <w:r>
        <w:rPr>
          <w:bCs/>
          <w:color w:val="000000"/>
          <w:lang w:eastAsia="el-GR"/>
        </w:rPr>
        <w:t>:</w:t>
      </w:r>
    </w:p>
    <w:p w:rsidR="00CD31A4" w:rsidRPr="00D74673" w:rsidRDefault="00CD31A4" w:rsidP="00CD31A4">
      <w:pPr>
        <w:pStyle w:val="Standard"/>
        <w:widowControl/>
        <w:tabs>
          <w:tab w:val="left" w:pos="142"/>
        </w:tabs>
        <w:autoSpaceDN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/>
          <w:b/>
          <w:kern w:val="0"/>
          <w:sz w:val="22"/>
          <w:szCs w:val="22"/>
          <w:lang w:bidi="ar-SA"/>
        </w:rPr>
        <w:t xml:space="preserve">1. </w:t>
      </w:r>
      <w:r w:rsidRPr="00D74673">
        <w:rPr>
          <w:rFonts w:eastAsia="Times New Roman" w:cs="Times New Roman"/>
          <w:b/>
          <w:kern w:val="0"/>
          <w:sz w:val="22"/>
          <w:szCs w:val="22"/>
          <w:lang w:bidi="ar-SA"/>
        </w:rPr>
        <w:t>Για τη Βενζίνη αμόλυβδη &amp; πετρέλαιο κίνησης</w:t>
      </w:r>
      <w:r w:rsidRPr="00D74673">
        <w:rPr>
          <w:rFonts w:eastAsia="Times New Roman" w:cs="Times New Roman"/>
          <w:kern w:val="0"/>
          <w:sz w:val="22"/>
          <w:szCs w:val="22"/>
          <w:lang w:bidi="ar-SA"/>
        </w:rPr>
        <w:t xml:space="preserve">, η πλέον συμφέρουσα από οικονομική άποψη προσφορά βάσει τιμής που εκφράζεται </w:t>
      </w:r>
      <w:r w:rsidRPr="00D74673">
        <w:rPr>
          <w:rFonts w:eastAsia="Times New Roman" w:cs="Times New Roman"/>
          <w:b/>
          <w:kern w:val="0"/>
          <w:sz w:val="22"/>
          <w:szCs w:val="22"/>
          <w:lang w:bidi="ar-SA"/>
        </w:rPr>
        <w:t>ως σταθερό ποσοστό έκπτωσης επί τοις εκατό (%), επί της νόμιμα διαμορφωμένης Μέσης  Χονδρικής  Τιμής  (Μ.Χ.Τ.)  πώλησης ανά είδος καυσίμου,</w:t>
      </w:r>
      <w:r w:rsidRPr="00D74673">
        <w:rPr>
          <w:rFonts w:eastAsia="Times New Roman" w:cs="Times New Roman"/>
          <w:kern w:val="0"/>
          <w:sz w:val="22"/>
          <w:szCs w:val="22"/>
          <w:lang w:bidi="ar-SA"/>
        </w:rPr>
        <w:t xml:space="preserve"> κατά την ημέρα παράδοσής του, όπως αυτή προσδιορίζεται από το δελτίο επισκόπησης τιμών καυσίμων στην ιστοσελίδα του Υπουργείου Ανάπτυξης και Ανταγωνιστικότητας – Διεύθυνση Παρατηρητηρίου Τιμών και </w:t>
      </w:r>
      <w:proofErr w:type="spellStart"/>
      <w:r w:rsidRPr="00D74673">
        <w:rPr>
          <w:rFonts w:eastAsia="Times New Roman" w:cs="Times New Roman"/>
          <w:kern w:val="0"/>
          <w:sz w:val="22"/>
          <w:szCs w:val="22"/>
          <w:lang w:bidi="ar-SA"/>
        </w:rPr>
        <w:t>Τιμοληψιών</w:t>
      </w:r>
      <w:proofErr w:type="spellEnd"/>
      <w:r w:rsidRPr="00D74673">
        <w:rPr>
          <w:rFonts w:eastAsia="Times New Roman" w:cs="Times New Roman"/>
          <w:kern w:val="0"/>
          <w:sz w:val="22"/>
          <w:szCs w:val="22"/>
          <w:lang w:bidi="ar-SA"/>
        </w:rPr>
        <w:t xml:space="preserve"> - Παρατηρητήριο Υγρών Καυσίμων για την Περιφέρεια Αττικής (</w:t>
      </w:r>
      <w:hyperlink r:id="rId5" w:history="1">
        <w:r w:rsidRPr="00D74673">
          <w:rPr>
            <w:rFonts w:eastAsia="Times New Roman" w:cs="Times New Roman"/>
            <w:kern w:val="0"/>
            <w:sz w:val="22"/>
            <w:szCs w:val="22"/>
            <w:lang w:bidi="ar-SA"/>
          </w:rPr>
          <w:t>www.fuelprices.gr</w:t>
        </w:r>
      </w:hyperlink>
      <w:r w:rsidRPr="00D74673">
        <w:rPr>
          <w:rFonts w:eastAsia="Times New Roman" w:cs="Times New Roman"/>
          <w:kern w:val="0"/>
          <w:sz w:val="22"/>
          <w:szCs w:val="22"/>
          <w:lang w:bidi="ar-SA"/>
        </w:rPr>
        <w:t>).</w:t>
      </w:r>
    </w:p>
    <w:p w:rsidR="00CD31A4" w:rsidRPr="00D74673" w:rsidRDefault="00CD31A4" w:rsidP="00CD31A4">
      <w:pPr>
        <w:pStyle w:val="12"/>
        <w:tabs>
          <w:tab w:val="left" w:pos="709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</w:pPr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 xml:space="preserve"> </w:t>
      </w:r>
      <w:r w:rsidRPr="00D74673"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>Μειοδότης αναδεικνύεται ο προσφέρων με το μεγαλύτερο ποσοστό έκπτωσης επί τοις εκατό(%).</w:t>
      </w:r>
    </w:p>
    <w:p w:rsidR="00CD31A4" w:rsidRPr="00D74673" w:rsidRDefault="00CD31A4" w:rsidP="00CD31A4">
      <w:pPr>
        <w:pStyle w:val="12"/>
        <w:tabs>
          <w:tab w:val="left" w:pos="709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</w:pPr>
    </w:p>
    <w:p w:rsidR="00CD31A4" w:rsidRPr="00D74673" w:rsidRDefault="00CD31A4" w:rsidP="00CD31A4">
      <w:pPr>
        <w:pStyle w:val="12"/>
        <w:tabs>
          <w:tab w:val="left" w:pos="142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 xml:space="preserve">2. </w:t>
      </w:r>
      <w:r w:rsidRPr="00D74673"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>Για το Πετρέλαιο θέρμανσης,</w:t>
      </w:r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 xml:space="preserve"> η πλέον συμφέρουσα από οικονομική άποψη προσφορά βάσει τιμής που εκφράζεται </w:t>
      </w:r>
      <w:r w:rsidRPr="00D74673"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>ως σταθερό ποσοστό έκπτωσης επί τοις εκατό (%), επί της νόμιμα διαμορφωμένης Μέσης  Λιανικής  Τιμής  (Μ.Λ.Τ.) πώλησης ανά λίτρο πετρελαίου θέρμανσης,</w:t>
      </w:r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 xml:space="preserve"> κατά την ημέρα παράδοσής του, όπως αυτή προσδιορίζεται από το δελτίο επισκόπησης τιμών καυσίμων στην ιστοσελίδα του Υπουργείου Ανάπτυξης και Ανταγωνιστικότητας – Διεύθυνση Παρατηρητηρίου Τιμών και </w:t>
      </w:r>
      <w:proofErr w:type="spellStart"/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>Τιμοληψιών</w:t>
      </w:r>
      <w:proofErr w:type="spellEnd"/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 xml:space="preserve"> - Παρατηρητήριο Υγρών Καυσίμων για την Περιφέρεια Αττικής (</w:t>
      </w:r>
      <w:hyperlink r:id="rId6" w:history="1">
        <w:r w:rsidRPr="00D74673">
          <w:rPr>
            <w:rFonts w:ascii="Times New Roman" w:eastAsia="Times New Roman" w:hAnsi="Times New Roman" w:cs="Times New Roman"/>
            <w:kern w:val="0"/>
            <w:sz w:val="22"/>
            <w:szCs w:val="22"/>
            <w:shd w:val="clear" w:color="auto" w:fill="auto"/>
            <w:lang w:bidi="ar-SA"/>
          </w:rPr>
          <w:t>www.fuelprices.gr</w:t>
        </w:r>
      </w:hyperlink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>).</w:t>
      </w:r>
    </w:p>
    <w:p w:rsidR="00CD31A4" w:rsidRPr="00D74673" w:rsidRDefault="00CD31A4" w:rsidP="00CD31A4">
      <w:pPr>
        <w:pStyle w:val="12"/>
        <w:tabs>
          <w:tab w:val="left" w:pos="1429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 xml:space="preserve">  </w:t>
      </w:r>
      <w:r w:rsidRPr="00D74673"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>Μειοδότης αναδεικνύεται ο προσφέρων με το μεγαλύτερο ποσοστό έκπτωσης επί τοις εκατό(%)</w:t>
      </w:r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>.</w:t>
      </w:r>
    </w:p>
    <w:p w:rsidR="00CD31A4" w:rsidRDefault="00CD31A4" w:rsidP="00CD31A4">
      <w:pPr>
        <w:pStyle w:val="12"/>
        <w:tabs>
          <w:tab w:val="left" w:pos="142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</w:pPr>
    </w:p>
    <w:p w:rsidR="00CD31A4" w:rsidRPr="00D74673" w:rsidRDefault="00CD31A4" w:rsidP="00CD31A4">
      <w:pPr>
        <w:pStyle w:val="12"/>
        <w:tabs>
          <w:tab w:val="left" w:pos="142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>3.</w:t>
      </w:r>
      <w:r w:rsidRPr="003021DC"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>Για το Φυσικό Αέριο</w:t>
      </w:r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 xml:space="preserve">, η πλέον συμφέρουσα από οικονομική άποψη προσφορά βάσει τιμής που εκφράζεται ως </w:t>
      </w:r>
      <w:r w:rsidRPr="003021DC"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 xml:space="preserve">σταθερό ποσοστό έκπτωσης επί τοις εκατό (%), επί της νόμιμα διαμορφωμένης τιμής του </w:t>
      </w:r>
      <w:proofErr w:type="spellStart"/>
      <w:r w:rsidRPr="003021DC"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>Diesel</w:t>
      </w:r>
      <w:proofErr w:type="spellEnd"/>
      <w:r w:rsidRPr="003021DC"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 xml:space="preserve"> κίνησης (προ ΦΠΑ) του μήνα κατανάλωσης</w:t>
      </w:r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 xml:space="preserve">, όπως αυτή προσδιορίζεται από το δελτίο επισκόπησης τιμών καυσίμων στην ιστοσελίδα του Υπουργείου Ανάπτυξης και Ανταγωνιστικότητας – Διεύθυνση Παρατηρητηρίου Τιμών και </w:t>
      </w:r>
      <w:proofErr w:type="spellStart"/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>Τιμοληψιών</w:t>
      </w:r>
      <w:proofErr w:type="spellEnd"/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>- Παρατηρητήριο Υγρών Καυσίμων για την Περιφέρεια Αττικής (</w:t>
      </w:r>
      <w:hyperlink r:id="rId7" w:history="1">
        <w:r w:rsidRPr="00D74673">
          <w:rPr>
            <w:rFonts w:ascii="Times New Roman" w:eastAsia="Times New Roman" w:hAnsi="Times New Roman" w:cs="Times New Roman"/>
            <w:kern w:val="0"/>
            <w:sz w:val="22"/>
            <w:szCs w:val="22"/>
            <w:shd w:val="clear" w:color="auto" w:fill="auto"/>
            <w:lang w:bidi="ar-SA"/>
          </w:rPr>
          <w:t>www.fuelprices.gr</w:t>
        </w:r>
      </w:hyperlink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 xml:space="preserve">).  </w:t>
      </w:r>
    </w:p>
    <w:p w:rsidR="00CD31A4" w:rsidRPr="003021DC" w:rsidRDefault="00CD31A4" w:rsidP="00CD31A4">
      <w:pPr>
        <w:pStyle w:val="12"/>
        <w:tabs>
          <w:tab w:val="left" w:pos="1429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 xml:space="preserve">  </w:t>
      </w:r>
      <w:r w:rsidRPr="003021DC">
        <w:rPr>
          <w:rFonts w:ascii="Times New Roman" w:eastAsia="Times New Roman" w:hAnsi="Times New Roman" w:cs="Times New Roman"/>
          <w:b/>
          <w:kern w:val="0"/>
          <w:sz w:val="22"/>
          <w:szCs w:val="22"/>
          <w:shd w:val="clear" w:color="auto" w:fill="auto"/>
          <w:lang w:bidi="ar-SA"/>
        </w:rPr>
        <w:t>Μειοδότης αναδεικνύεται ο προσφέρων με το μεγαλύτερο ποσοστό έκπτωσης επί τοις εκατό(%).</w:t>
      </w:r>
    </w:p>
    <w:p w:rsidR="00CD31A4" w:rsidRPr="00D74673" w:rsidRDefault="00CD31A4" w:rsidP="00CD31A4">
      <w:pPr>
        <w:pStyle w:val="12"/>
        <w:tabs>
          <w:tab w:val="left" w:pos="709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</w:pPr>
    </w:p>
    <w:p w:rsidR="00CD31A4" w:rsidRPr="002F3441" w:rsidRDefault="00CD31A4" w:rsidP="00CD31A4">
      <w:pPr>
        <w:pStyle w:val="Standard"/>
        <w:tabs>
          <w:tab w:val="left" w:pos="6300"/>
        </w:tabs>
        <w:spacing w:line="276" w:lineRule="auto"/>
        <w:ind w:right="-143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bidi="ar-SA"/>
        </w:rPr>
      </w:pPr>
      <w:r w:rsidRPr="00D74673">
        <w:rPr>
          <w:rFonts w:eastAsia="Times New Roman" w:cs="Times New Roman"/>
          <w:kern w:val="0"/>
          <w:sz w:val="22"/>
          <w:szCs w:val="22"/>
          <w:lang w:bidi="ar-SA"/>
        </w:rPr>
        <w:t xml:space="preserve"> </w:t>
      </w:r>
      <w:r w:rsidRPr="002F3441">
        <w:rPr>
          <w:rFonts w:eastAsia="Times New Roman" w:cs="Times New Roman"/>
          <w:b/>
          <w:kern w:val="0"/>
          <w:sz w:val="22"/>
          <w:szCs w:val="22"/>
          <w:u w:val="single"/>
          <w:lang w:bidi="ar-SA"/>
        </w:rPr>
        <w:t>Το ποσοστό έκπτωσης, μπορεί να είναι και αρνητικό χωρίς να υπερβαίνει το 5%  (σύμφωνα με τις  διατάξεις  του  άρθρου  63  του  ν.4257/2014).</w:t>
      </w:r>
    </w:p>
    <w:p w:rsidR="00CD31A4" w:rsidRPr="00D74673" w:rsidRDefault="00CD31A4" w:rsidP="00CD31A4">
      <w:pPr>
        <w:pStyle w:val="12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</w:pPr>
    </w:p>
    <w:p w:rsidR="00CD31A4" w:rsidRPr="00D74673" w:rsidRDefault="00CD31A4" w:rsidP="00CD31A4">
      <w:pPr>
        <w:pStyle w:val="12"/>
        <w:tabs>
          <w:tab w:val="left" w:pos="709"/>
        </w:tabs>
        <w:spacing w:before="0" w:after="0" w:line="240" w:lineRule="auto"/>
        <w:ind w:right="20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</w:pPr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 xml:space="preserve"> </w:t>
      </w:r>
      <w:r w:rsidRPr="00C111FC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shd w:val="clear" w:color="auto" w:fill="auto"/>
          <w:lang w:bidi="ar-SA"/>
        </w:rPr>
        <w:t>Θα αποκλείονται προσφορές από τον διαγωνισμό εάν στην οικονομική προσφορά δεν αναγράφεται το ποσοστό έκπτωσης επί  τοις εκατό (%) ολόγραφα και αριθμητικά. Η ολόγραφη αναγραφή θα υπερισχύει της αντίστοιχης  αριθμητικής</w:t>
      </w:r>
      <w:r w:rsidRPr="00D74673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auto"/>
          <w:lang w:bidi="ar-SA"/>
        </w:rPr>
        <w:t>.</w:t>
      </w:r>
    </w:p>
    <w:p w:rsidR="00CD31A4" w:rsidRDefault="00CD31A4" w:rsidP="00CD31A4">
      <w:pPr>
        <w:jc w:val="both"/>
        <w:rPr>
          <w:bCs/>
          <w:strike/>
          <w:color w:val="FF0000"/>
          <w:kern w:val="2"/>
          <w:u w:val="single"/>
          <w:lang w:eastAsia="el-GR" w:bidi="hi-IN"/>
        </w:rPr>
      </w:pPr>
    </w:p>
    <w:p w:rsidR="00CD31A4" w:rsidRPr="005E4999" w:rsidRDefault="00CD31A4" w:rsidP="00CD31A4">
      <w:pPr>
        <w:jc w:val="both"/>
        <w:rPr>
          <w:bCs/>
          <w:color w:val="000000"/>
          <w:kern w:val="2"/>
          <w:lang w:eastAsia="el-GR" w:bidi="hi-IN"/>
        </w:rPr>
      </w:pPr>
      <w:r w:rsidRPr="005E4999">
        <w:rPr>
          <w:bCs/>
          <w:color w:val="000000"/>
          <w:kern w:val="2"/>
          <w:lang w:eastAsia="el-GR" w:bidi="hi-IN"/>
        </w:rPr>
        <w:t xml:space="preserve">Η τιμή θα αναγράφεται ολόγραφα και αριθμητικά, σε περίπτωση ασυμφωνίας θα ισχύει η ολόγραφη τιμή.       </w:t>
      </w:r>
    </w:p>
    <w:p w:rsidR="00CD31A4" w:rsidRDefault="00CD31A4" w:rsidP="00CD31A4"/>
    <w:tbl>
      <w:tblPr>
        <w:tblW w:w="10559" w:type="dxa"/>
        <w:tblInd w:w="-596" w:type="dxa"/>
        <w:tblLayout w:type="fixed"/>
        <w:tblCellMar>
          <w:left w:w="88" w:type="dxa"/>
        </w:tblCellMar>
        <w:tblLook w:val="04A0"/>
      </w:tblPr>
      <w:tblGrid>
        <w:gridCol w:w="734"/>
        <w:gridCol w:w="2565"/>
        <w:gridCol w:w="1213"/>
        <w:gridCol w:w="4110"/>
        <w:gridCol w:w="1937"/>
      </w:tblGrid>
      <w:tr w:rsidR="00CD31A4" w:rsidRPr="00CD31A4" w:rsidTr="00CD31A4">
        <w:trPr>
          <w:trHeight w:val="495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bCs/>
                <w:color w:val="000000"/>
                <w:kern w:val="2"/>
                <w:u w:val="single"/>
                <w:lang w:eastAsia="el-GR" w:bidi="hi-IN"/>
              </w:rPr>
            </w:pPr>
            <w:bookmarkStart w:id="0" w:name="RANGE!A30%252525253AE54"/>
            <w:bookmarkEnd w:id="0"/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u w:val="single"/>
                <w:lang w:eastAsia="el-GR" w:bidi="hi-IN"/>
              </w:rPr>
              <w:t>Α/Α</w:t>
            </w:r>
          </w:p>
        </w:tc>
        <w:tc>
          <w:tcPr>
            <w:tcW w:w="2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 xml:space="preserve">ΠΡΟΜΗΘΕΥΟΜΕΝΟ    </w:t>
            </w:r>
          </w:p>
          <w:p w:rsidR="00CD31A4" w:rsidRPr="00CD31A4" w:rsidRDefault="00CD31A4" w:rsidP="0083711C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 xml:space="preserve">            ΕΙΔΟΣ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 xml:space="preserve"> ΜΟΝΑΔΑ ΜΕΤΡΗΣΗΣ</w:t>
            </w: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 xml:space="preserve">                       ΟΛΟΓΡΑΦΩΣ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ΑΡΙΘΜΗΤΙΚΩΣ</w:t>
            </w:r>
          </w:p>
        </w:tc>
      </w:tr>
      <w:tr w:rsidR="00CD31A4" w:rsidRPr="00CD31A4" w:rsidTr="00CD31A4">
        <w:trPr>
          <w:trHeight w:val="315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2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  <w:t>Έκπτωση επί τοις εκατό (%)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</w:tr>
      <w:tr w:rsidR="00CD31A4" w:rsidRPr="00CD31A4" w:rsidTr="00CD31A4">
        <w:trPr>
          <w:trHeight w:val="495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1.</w:t>
            </w:r>
          </w:p>
        </w:tc>
        <w:tc>
          <w:tcPr>
            <w:tcW w:w="2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ΒΕΝΖΙΝΗ ΑΜΟΛΥΒΔΗ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ΛΙΤΡΟ</w:t>
            </w: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</w:tr>
      <w:tr w:rsidR="00CD31A4" w:rsidRPr="00CD31A4" w:rsidTr="00CD31A4">
        <w:trPr>
          <w:trHeight w:val="495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2.</w:t>
            </w:r>
          </w:p>
        </w:tc>
        <w:tc>
          <w:tcPr>
            <w:tcW w:w="2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ΠΕΤΡΕΛΑΙΟ ΚΙΝΗΣΗΣ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ΛΙΤΡΟ</w:t>
            </w: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</w:tr>
      <w:tr w:rsidR="00CD31A4" w:rsidRPr="00CD31A4" w:rsidTr="00CD31A4">
        <w:trPr>
          <w:trHeight w:val="315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2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  <w:t>Έκπτωση επί τοις εκατό (%)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</w:tr>
      <w:tr w:rsidR="00CD31A4" w:rsidRPr="00CD31A4" w:rsidTr="00CD31A4">
        <w:trPr>
          <w:trHeight w:val="495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3.</w:t>
            </w:r>
          </w:p>
        </w:tc>
        <w:tc>
          <w:tcPr>
            <w:tcW w:w="2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ΠΕΤΡΕΛΑΙΟ ΘΕΡΜΑΣΗΣ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ΛΙΤΡΟ</w:t>
            </w: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</w:tr>
      <w:tr w:rsidR="00CD31A4" w:rsidRPr="00CD31A4" w:rsidTr="00CD31A4">
        <w:trPr>
          <w:trHeight w:val="315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2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  <w:t>Έκπτωση επί τοις εκατό (%)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</w:tr>
      <w:tr w:rsidR="00CD31A4" w:rsidRPr="00CD31A4" w:rsidTr="00CD31A4">
        <w:trPr>
          <w:trHeight w:val="735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4.</w:t>
            </w:r>
          </w:p>
        </w:tc>
        <w:tc>
          <w:tcPr>
            <w:tcW w:w="2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ind w:right="-75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 xml:space="preserve">    ΣΥΜΠΙΕΣΜΕΝΟ </w:t>
            </w:r>
          </w:p>
          <w:p w:rsidR="00CD31A4" w:rsidRPr="00CD31A4" w:rsidRDefault="00CD31A4" w:rsidP="0083711C">
            <w:pPr>
              <w:widowControl w:val="0"/>
              <w:suppressAutoHyphens w:val="0"/>
              <w:ind w:right="-75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ΦΥΣΙΚΟ ΑΕΡΙΟ ΚΙΝΗΣΗΣ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</w:pPr>
            <w:proofErr w:type="spellStart"/>
            <w:r w:rsidRPr="00CD31A4"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el-GR" w:bidi="hi-IN"/>
              </w:rPr>
              <w:t>MWh</w:t>
            </w:r>
            <w:proofErr w:type="spellEnd"/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kern w:val="2"/>
                <w:lang w:eastAsia="el-GR" w:bidi="hi-IN"/>
              </w:rPr>
            </w:pPr>
          </w:p>
        </w:tc>
      </w:tr>
      <w:tr w:rsidR="00CD31A4" w:rsidRPr="00CD31A4" w:rsidTr="00CD31A4">
        <w:trPr>
          <w:trHeight w:hRule="exact" w:val="23"/>
        </w:trPr>
        <w:tc>
          <w:tcPr>
            <w:tcW w:w="73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CD31A4" w:rsidRPr="00CD31A4" w:rsidRDefault="00CD31A4" w:rsidP="0083711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CD31A4" w:rsidRPr="00CD31A4" w:rsidRDefault="00CD31A4" w:rsidP="008371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D31A4" w:rsidRPr="00CD31A4" w:rsidRDefault="00CD31A4" w:rsidP="0083711C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CD31A4" w:rsidRDefault="00CD31A4" w:rsidP="00CD31A4">
      <w:pPr>
        <w:rPr>
          <w:lang w:val="en-US"/>
        </w:rPr>
      </w:pPr>
    </w:p>
    <w:p w:rsidR="00CD31A4" w:rsidRDefault="00CD31A4" w:rsidP="00CD31A4">
      <w:pPr>
        <w:ind w:left="2160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                             </w:t>
      </w:r>
      <w:r>
        <w:rPr>
          <w:b/>
        </w:rPr>
        <w:t>ΑΘΗΝΑ     /   /20</w:t>
      </w:r>
      <w:r>
        <w:rPr>
          <w:b/>
          <w:lang w:val="en-US"/>
        </w:rPr>
        <w:t>2</w:t>
      </w:r>
      <w:r>
        <w:rPr>
          <w:b/>
        </w:rPr>
        <w:t>3</w:t>
      </w:r>
    </w:p>
    <w:p w:rsidR="00CD31A4" w:rsidRDefault="00CD31A4" w:rsidP="00CD31A4">
      <w:pPr>
        <w:tabs>
          <w:tab w:val="left" w:pos="5865"/>
        </w:tabs>
      </w:pPr>
      <w:r>
        <w:tab/>
      </w:r>
    </w:p>
    <w:p w:rsidR="00CD31A4" w:rsidRPr="005E4999" w:rsidRDefault="00CD31A4" w:rsidP="00CD31A4">
      <w:pPr>
        <w:tabs>
          <w:tab w:val="left" w:pos="5865"/>
        </w:tabs>
      </w:pPr>
      <w:r>
        <w:rPr>
          <w:b/>
        </w:rPr>
        <w:tab/>
      </w:r>
      <w:r>
        <w:rPr>
          <w:b/>
        </w:rPr>
        <w:tab/>
        <w:t xml:space="preserve">                   Ο ΠΡΟΣΦΕΡΩΝ</w:t>
      </w:r>
    </w:p>
    <w:p w:rsidR="00CD31A4" w:rsidRDefault="00CD31A4" w:rsidP="00CD31A4">
      <w:pPr>
        <w:tabs>
          <w:tab w:val="left" w:pos="900"/>
          <w:tab w:val="center" w:pos="4819"/>
        </w:tabs>
      </w:pPr>
      <w:r>
        <w:tab/>
      </w:r>
    </w:p>
    <w:p w:rsidR="003B08DA" w:rsidRDefault="003B08DA"/>
    <w:sectPr w:rsidR="003B08DA" w:rsidSect="00CD31A4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D31A4"/>
    <w:rsid w:val="003B08DA"/>
    <w:rsid w:val="00CD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A4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D31A4"/>
    <w:pPr>
      <w:spacing w:after="120"/>
    </w:pPr>
    <w:rPr>
      <w:rFonts w:cs="Times New Roman"/>
      <w:sz w:val="20"/>
      <w:szCs w:val="20"/>
    </w:rPr>
  </w:style>
  <w:style w:type="character" w:customStyle="1" w:styleId="Char">
    <w:name w:val="Σώμα κειμένου Char"/>
    <w:basedOn w:val="a0"/>
    <w:link w:val="a3"/>
    <w:rsid w:val="00CD31A4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Standard">
    <w:name w:val="Standard"/>
    <w:rsid w:val="00CD31A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12">
    <w:name w:val="Σώμα κειμένου12"/>
    <w:basedOn w:val="Standard"/>
    <w:qFormat/>
    <w:rsid w:val="00CD31A4"/>
    <w:pPr>
      <w:widowControl/>
      <w:suppressAutoHyphens w:val="0"/>
      <w:autoSpaceDN w:val="0"/>
      <w:spacing w:before="420" w:after="420" w:line="0" w:lineRule="atLeast"/>
      <w:ind w:hanging="460"/>
      <w:jc w:val="center"/>
    </w:pPr>
    <w:rPr>
      <w:rFonts w:ascii="Verdana" w:eastAsia="Verdana" w:hAnsi="Verdana" w:cs="Verdana"/>
      <w:kern w:val="3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uelprice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elprices.gr/" TargetMode="External"/><Relationship Id="rId5" Type="http://schemas.openxmlformats.org/officeDocument/2006/relationships/hyperlink" Target="http://www.fuelprices.g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2023-08-23T09:33:00Z</dcterms:created>
  <dcterms:modified xsi:type="dcterms:W3CDTF">2023-08-23T09:35:00Z</dcterms:modified>
</cp:coreProperties>
</file>