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E9" w:rsidRDefault="006D00E9" w:rsidP="006D00E9">
      <w:pPr>
        <w:spacing w:after="0"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-322580</wp:posOffset>
            </wp:positionV>
            <wp:extent cx="775970" cy="662305"/>
            <wp:effectExtent l="19050" t="0" r="5080" b="0"/>
            <wp:wrapSquare wrapText="largest"/>
            <wp:docPr id="2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0E9" w:rsidRDefault="006D00E9" w:rsidP="006D00E9">
      <w:pPr>
        <w:spacing w:after="0" w:line="240" w:lineRule="auto"/>
        <w:rPr>
          <w:b/>
          <w:sz w:val="18"/>
          <w:szCs w:val="18"/>
        </w:rPr>
      </w:pPr>
    </w:p>
    <w:p w:rsidR="006D00E9" w:rsidRDefault="006D00E9" w:rsidP="006D00E9">
      <w:pPr>
        <w:spacing w:after="0" w:line="240" w:lineRule="auto"/>
        <w:rPr>
          <w:b/>
          <w:sz w:val="18"/>
          <w:szCs w:val="18"/>
        </w:rPr>
      </w:pPr>
    </w:p>
    <w:p w:rsidR="006D00E9" w:rsidRPr="00BC6A61" w:rsidRDefault="006D00E9" w:rsidP="006D00E9">
      <w:pPr>
        <w:spacing w:after="0" w:line="240" w:lineRule="auto"/>
        <w:rPr>
          <w:b/>
          <w:sz w:val="18"/>
          <w:szCs w:val="18"/>
        </w:rPr>
      </w:pPr>
      <w:r w:rsidRPr="00BC6A61">
        <w:rPr>
          <w:b/>
          <w:sz w:val="18"/>
          <w:szCs w:val="18"/>
        </w:rPr>
        <w:t>ΕΛΛΗΝΙΚΗ  ΔΗΜΟΚΡΑΤΙΑ</w:t>
      </w:r>
    </w:p>
    <w:p w:rsidR="006D00E9" w:rsidRPr="00BC6A61" w:rsidRDefault="006D00E9" w:rsidP="006D00E9">
      <w:pPr>
        <w:spacing w:after="0" w:line="240" w:lineRule="auto"/>
        <w:rPr>
          <w:b/>
          <w:sz w:val="18"/>
          <w:szCs w:val="18"/>
        </w:rPr>
      </w:pPr>
      <w:r w:rsidRPr="00BC6A61">
        <w:rPr>
          <w:b/>
          <w:sz w:val="18"/>
          <w:szCs w:val="18"/>
        </w:rPr>
        <w:t xml:space="preserve">ΝΟΜΟΣ ΑΤΤΙΚΗΣ </w:t>
      </w:r>
    </w:p>
    <w:p w:rsidR="006D00E9" w:rsidRPr="00BC6A61" w:rsidRDefault="006D00E9" w:rsidP="006D00E9">
      <w:pPr>
        <w:spacing w:after="0" w:line="240" w:lineRule="auto"/>
        <w:rPr>
          <w:b/>
          <w:sz w:val="18"/>
          <w:szCs w:val="18"/>
        </w:rPr>
      </w:pPr>
      <w:r w:rsidRPr="00BC6A61">
        <w:rPr>
          <w:b/>
          <w:sz w:val="18"/>
          <w:szCs w:val="18"/>
        </w:rPr>
        <w:t xml:space="preserve">ΔΗΜΟΣ  ΑΘΗΝΑΙΩΝ </w:t>
      </w:r>
    </w:p>
    <w:p w:rsidR="006D00E9" w:rsidRPr="00BC6A61" w:rsidRDefault="006D00E9" w:rsidP="006D00E9">
      <w:pPr>
        <w:spacing w:after="0" w:line="240" w:lineRule="auto"/>
        <w:rPr>
          <w:b/>
          <w:sz w:val="18"/>
          <w:szCs w:val="18"/>
        </w:rPr>
      </w:pPr>
      <w:r w:rsidRPr="00BC6A61">
        <w:rPr>
          <w:b/>
          <w:sz w:val="18"/>
          <w:szCs w:val="18"/>
        </w:rPr>
        <w:t xml:space="preserve">ΓΕΝΙΚΗ Δ/ΝΣΗ ΟΙΚΟΝΟΜΙΚΩΝ </w:t>
      </w:r>
    </w:p>
    <w:p w:rsidR="006D00E9" w:rsidRPr="00BC6A61" w:rsidRDefault="006D00E9" w:rsidP="006D00E9">
      <w:pPr>
        <w:pStyle w:val="3"/>
        <w:rPr>
          <w:rFonts w:ascii="Calibri" w:hAnsi="Calibri"/>
          <w:b/>
          <w:sz w:val="18"/>
          <w:szCs w:val="18"/>
          <w:lang w:val="el-GR"/>
        </w:rPr>
      </w:pPr>
      <w:r w:rsidRPr="00BC6A61">
        <w:rPr>
          <w:rFonts w:ascii="Calibri" w:hAnsi="Calibri"/>
          <w:b/>
          <w:sz w:val="18"/>
          <w:szCs w:val="18"/>
        </w:rPr>
        <w:t>Δ</w:t>
      </w:r>
      <w:r w:rsidRPr="00BC6A61">
        <w:rPr>
          <w:rFonts w:ascii="Calibri" w:hAnsi="Calibri"/>
          <w:b/>
          <w:sz w:val="18"/>
          <w:szCs w:val="18"/>
          <w:lang w:val="el-GR"/>
        </w:rPr>
        <w:t>/ΝΣΗ</w:t>
      </w:r>
      <w:r w:rsidRPr="00BC6A61">
        <w:rPr>
          <w:rFonts w:ascii="Calibri" w:hAnsi="Calibri"/>
          <w:b/>
          <w:sz w:val="18"/>
          <w:szCs w:val="18"/>
        </w:rPr>
        <w:t xml:space="preserve"> ΠΡΟΜΗΘΕΙΩΝ ΚΑΙ ΑΠΟΘΗΚΩΝ</w:t>
      </w:r>
    </w:p>
    <w:p w:rsidR="006D00E9" w:rsidRPr="00BC6A61" w:rsidRDefault="006D00E9" w:rsidP="006D00E9">
      <w:pPr>
        <w:spacing w:after="0" w:line="240" w:lineRule="auto"/>
        <w:rPr>
          <w:b/>
          <w:sz w:val="18"/>
          <w:szCs w:val="18"/>
        </w:rPr>
      </w:pPr>
      <w:r w:rsidRPr="00BC6A61">
        <w:rPr>
          <w:b/>
          <w:sz w:val="18"/>
          <w:szCs w:val="18"/>
        </w:rPr>
        <w:t>ΤΜΗΜΑ  ΔΙΑΔΙΚΑΣΙΩΝ ΣΥΝΑΨΗΣ ΔΗΜΟΣΙΩΝ ΣΥΜΒΑΣΕΩΝ</w:t>
      </w:r>
    </w:p>
    <w:p w:rsidR="006D00E9" w:rsidRDefault="006D00E9" w:rsidP="006D00E9">
      <w:pPr>
        <w:spacing w:after="0" w:line="240" w:lineRule="auto"/>
        <w:jc w:val="center"/>
        <w:rPr>
          <w:rFonts w:cs="Arial"/>
          <w:b/>
          <w:bCs/>
          <w:spacing w:val="20"/>
          <w:u w:val="single"/>
        </w:rPr>
      </w:pPr>
    </w:p>
    <w:p w:rsidR="006D00E9" w:rsidRPr="00F11519" w:rsidRDefault="006D00E9" w:rsidP="006D00E9">
      <w:pPr>
        <w:spacing w:after="0" w:line="240" w:lineRule="auto"/>
        <w:jc w:val="center"/>
        <w:rPr>
          <w:rFonts w:cs="Arial"/>
          <w:b/>
          <w:bCs/>
          <w:spacing w:val="20"/>
          <w:u w:val="single"/>
        </w:rPr>
      </w:pPr>
      <w:r>
        <w:rPr>
          <w:rFonts w:cs="Arial"/>
          <w:b/>
          <w:bCs/>
          <w:spacing w:val="20"/>
          <w:u w:val="single"/>
        </w:rPr>
        <w:t>ΥΠΟΔΕΙΓΜΑ</w:t>
      </w:r>
      <w:r w:rsidRPr="007C5A88">
        <w:rPr>
          <w:rFonts w:cs="Arial"/>
          <w:b/>
          <w:bCs/>
          <w:spacing w:val="20"/>
          <w:u w:val="single"/>
        </w:rPr>
        <w:t xml:space="preserve"> ΟΙΚΟΝΟΜΙΚΗΣ ΠΡΟΣΦΟΡΑΣ</w:t>
      </w:r>
      <w:r>
        <w:rPr>
          <w:rFonts w:cs="Arial"/>
          <w:b/>
          <w:bCs/>
          <w:spacing w:val="20"/>
          <w:u w:val="single"/>
        </w:rPr>
        <w:t xml:space="preserve"> </w:t>
      </w:r>
    </w:p>
    <w:p w:rsidR="006D00E9" w:rsidRPr="00C50110" w:rsidRDefault="006D00E9" w:rsidP="006D00E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24FD1">
        <w:rPr>
          <w:sz w:val="20"/>
          <w:szCs w:val="20"/>
        </w:rPr>
        <w:t xml:space="preserve"> </w:t>
      </w:r>
      <w:r w:rsidRPr="00B24FD1">
        <w:rPr>
          <w:rFonts w:cs="Calibri"/>
          <w:sz w:val="20"/>
          <w:szCs w:val="20"/>
        </w:rPr>
        <w:t xml:space="preserve">Ο υπογραφόμενος………………………………………………………………………………………….. με έδρα …………………….. ………………………………………………  </w:t>
      </w:r>
      <w:proofErr w:type="spellStart"/>
      <w:r w:rsidRPr="00B24FD1">
        <w:rPr>
          <w:rFonts w:cs="Calibri"/>
          <w:sz w:val="20"/>
          <w:szCs w:val="20"/>
        </w:rPr>
        <w:t>Ταχ</w:t>
      </w:r>
      <w:proofErr w:type="spellEnd"/>
      <w:r w:rsidRPr="00B24FD1">
        <w:rPr>
          <w:rFonts w:cs="Calibri"/>
          <w:sz w:val="20"/>
          <w:szCs w:val="20"/>
        </w:rPr>
        <w:t>/</w:t>
      </w:r>
      <w:proofErr w:type="spellStart"/>
      <w:r w:rsidRPr="00B24FD1">
        <w:rPr>
          <w:rFonts w:cs="Calibri"/>
          <w:sz w:val="20"/>
          <w:szCs w:val="20"/>
        </w:rPr>
        <w:t>κή</w:t>
      </w:r>
      <w:proofErr w:type="spellEnd"/>
      <w:r w:rsidRPr="00B24FD1">
        <w:rPr>
          <w:rFonts w:cs="Calibri"/>
          <w:sz w:val="20"/>
          <w:szCs w:val="20"/>
        </w:rPr>
        <w:t xml:space="preserve"> Δ/νση ………………………….……………………… </w:t>
      </w:r>
      <w:proofErr w:type="spellStart"/>
      <w:r w:rsidRPr="00B24FD1">
        <w:rPr>
          <w:rFonts w:cs="Calibri"/>
          <w:sz w:val="20"/>
          <w:szCs w:val="20"/>
        </w:rPr>
        <w:t>Τηλ</w:t>
      </w:r>
      <w:proofErr w:type="spellEnd"/>
      <w:r w:rsidRPr="00B24FD1">
        <w:rPr>
          <w:rFonts w:cs="Calibri"/>
          <w:sz w:val="20"/>
          <w:szCs w:val="20"/>
        </w:rPr>
        <w:t xml:space="preserve">. …….……………………,  </w:t>
      </w:r>
      <w:proofErr w:type="spellStart"/>
      <w:r w:rsidRPr="00B24FD1">
        <w:rPr>
          <w:rFonts w:cs="Calibri"/>
          <w:sz w:val="20"/>
          <w:szCs w:val="20"/>
        </w:rPr>
        <w:t>email</w:t>
      </w:r>
      <w:proofErr w:type="spellEnd"/>
      <w:r w:rsidRPr="00B24FD1">
        <w:rPr>
          <w:rFonts w:cs="Calibri"/>
          <w:sz w:val="20"/>
          <w:szCs w:val="20"/>
        </w:rPr>
        <w:t xml:space="preserve"> ……………………</w:t>
      </w:r>
      <w:r w:rsidRPr="00F11519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</w:t>
      </w:r>
      <w:r w:rsidRPr="00B24FD1">
        <w:rPr>
          <w:rFonts w:cs="Calibri"/>
          <w:sz w:val="20"/>
          <w:szCs w:val="20"/>
        </w:rPr>
        <w:t xml:space="preserve">αφού έλαβα πλήρη γνώση των όρων </w:t>
      </w:r>
      <w:r>
        <w:rPr>
          <w:rFonts w:cs="Calibri"/>
          <w:sz w:val="20"/>
          <w:szCs w:val="20"/>
        </w:rPr>
        <w:t xml:space="preserve">της υπ’ </w:t>
      </w:r>
      <w:proofErr w:type="spellStart"/>
      <w:r>
        <w:rPr>
          <w:rFonts w:cs="Calibri"/>
          <w:sz w:val="20"/>
          <w:szCs w:val="20"/>
        </w:rPr>
        <w:t>αριθμ</w:t>
      </w:r>
      <w:proofErr w:type="spellEnd"/>
      <w:r>
        <w:rPr>
          <w:rFonts w:cs="Calibri"/>
          <w:sz w:val="20"/>
          <w:szCs w:val="20"/>
        </w:rPr>
        <w:t>. ……….</w:t>
      </w:r>
      <w:r w:rsidRPr="00B24FD1">
        <w:rPr>
          <w:rFonts w:cs="Calibri"/>
          <w:sz w:val="20"/>
          <w:szCs w:val="20"/>
        </w:rPr>
        <w:t xml:space="preserve"> Διακήρυξης και των </w:t>
      </w:r>
      <w:r>
        <w:rPr>
          <w:rFonts w:cs="Calibri"/>
          <w:sz w:val="20"/>
          <w:szCs w:val="20"/>
        </w:rPr>
        <w:t xml:space="preserve">Παραρτημάτων </w:t>
      </w:r>
      <w:r w:rsidRPr="00B24FD1">
        <w:rPr>
          <w:rFonts w:cs="Calibri"/>
          <w:sz w:val="20"/>
          <w:szCs w:val="20"/>
        </w:rPr>
        <w:t xml:space="preserve">αυτής, τους οποίους αποδέχομαι ανεπιφύλακτα, που αφορούν στην ηλεκτρονική διαδικασία σύναψης δημόσιας σύμβασης άνω των ορίων, για την </w:t>
      </w:r>
      <w:r w:rsidRPr="007A387B">
        <w:rPr>
          <w:rFonts w:cs="Calibri"/>
          <w:b/>
          <w:sz w:val="20"/>
          <w:szCs w:val="20"/>
        </w:rPr>
        <w:t>«</w:t>
      </w:r>
      <w:r w:rsidRPr="00BC6A61">
        <w:rPr>
          <w:rFonts w:cs="Calibri"/>
          <w:b/>
          <w:i/>
          <w:sz w:val="20"/>
          <w:szCs w:val="20"/>
        </w:rPr>
        <w:t>Προμήθεια δύο (2) Αυτοκινούμενων Τετράτροχων Οχημάτων Πλύσης-Στέγνωσης Δαπέδων Κοινοχρήστων Χώρων</w:t>
      </w:r>
      <w:r w:rsidRPr="00BC6A61">
        <w:rPr>
          <w:rFonts w:cs="Calibri"/>
          <w:b/>
          <w:bCs/>
          <w:i/>
          <w:sz w:val="20"/>
          <w:szCs w:val="20"/>
        </w:rPr>
        <w:t xml:space="preserve"> και η ετήσια συντήρηση αυτών για το χρονικό διάστημα των δύο (2) ετών και ενός (1) Αυτοκινούμενου Τρίτροχου Αναρροφητικού Σαρώθρου και η ετήσια συντήρηση αυτού για το χρονικό διάστημα των δύο (2) ετών</w:t>
      </w:r>
      <w:r w:rsidRPr="00BC6A61">
        <w:rPr>
          <w:rFonts w:cs="Calibri"/>
          <w:b/>
          <w:i/>
          <w:sz w:val="20"/>
          <w:szCs w:val="20"/>
        </w:rPr>
        <w:t>»</w:t>
      </w:r>
      <w:r>
        <w:rPr>
          <w:rFonts w:cs="Calibri"/>
          <w:b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στην </w:t>
      </w:r>
      <w:r w:rsidRPr="00C50110">
        <w:rPr>
          <w:rFonts w:cs="Calibri"/>
          <w:sz w:val="20"/>
          <w:szCs w:val="20"/>
        </w:rPr>
        <w:t xml:space="preserve">προσφερόμενη τιμή </w:t>
      </w:r>
      <w:r w:rsidRPr="00C50110">
        <w:rPr>
          <w:rFonts w:eastAsia="Arial" w:cs="Calibri"/>
          <w:sz w:val="20"/>
          <w:szCs w:val="20"/>
        </w:rPr>
        <w:t xml:space="preserve">των άρθρων συμπεριλαμβάνεται η αξία των προσφερομένων ειδών και υπηρεσιών, το νόμιμο κέρδος του Αναδόχου, ο εκτελωνισμός, τα έξοδα έκδοσης άδειας κυκλοφορίας και πινακίδων, οι κρατήσεις όπως αναφέρονται στο άρθρο 14 της Συγγραφής Υποχρεώσεων, η μεταφορά και η παράδοση των </w:t>
      </w:r>
      <w:r w:rsidRPr="00C50110">
        <w:rPr>
          <w:rFonts w:eastAsia="Bookman Old Style" w:cs="Calibri"/>
          <w:sz w:val="20"/>
          <w:szCs w:val="20"/>
        </w:rPr>
        <w:t>οχημάτων και</w:t>
      </w:r>
      <w:r w:rsidRPr="00C50110">
        <w:rPr>
          <w:rFonts w:cs="Calibri"/>
          <w:sz w:val="20"/>
          <w:szCs w:val="20"/>
        </w:rPr>
        <w:t xml:space="preserve"> τα έξοδα χαρτοσήμανσης του συμφωνητικού.</w:t>
      </w:r>
      <w:r>
        <w:rPr>
          <w:rFonts w:cs="Calibri"/>
          <w:sz w:val="20"/>
          <w:szCs w:val="20"/>
        </w:rPr>
        <w:t xml:space="preserve"> </w:t>
      </w:r>
      <w:r w:rsidRPr="00C50110">
        <w:rPr>
          <w:rFonts w:cs="Calibri"/>
          <w:sz w:val="20"/>
          <w:szCs w:val="20"/>
        </w:rPr>
        <w:t xml:space="preserve">Επίσης, περιλαμβάνεται </w:t>
      </w:r>
      <w:r w:rsidRPr="00C50110">
        <w:rPr>
          <w:rFonts w:cs="Calibri"/>
          <w:iCs/>
          <w:sz w:val="20"/>
          <w:szCs w:val="20"/>
        </w:rPr>
        <w:t>το κόστος όλων των απαραίτητων ανταλλακτικών και εξαρτημάτων που θα τοποθετηθούν κατά τις υπηρεσίες συντήρησης των σαρώθρων και η</w:t>
      </w:r>
      <w:r w:rsidRPr="00C50110">
        <w:rPr>
          <w:rFonts w:cs="Calibri"/>
          <w:sz w:val="20"/>
          <w:szCs w:val="20"/>
        </w:rPr>
        <w:t xml:space="preserve"> δαπάνη οποιασδήποτε υπηρεσίας για την πλήρη και σύμφωνα με τις </w:t>
      </w:r>
      <w:r w:rsidRPr="00C50110">
        <w:rPr>
          <w:rFonts w:cs="Calibri"/>
          <w:i/>
          <w:iCs/>
          <w:sz w:val="20"/>
          <w:szCs w:val="20"/>
        </w:rPr>
        <w:t xml:space="preserve">Τεχνικές Προδιαγραφές Μελέτης </w:t>
      </w:r>
      <w:r w:rsidRPr="00C50110">
        <w:rPr>
          <w:rFonts w:cs="Calibri"/>
          <w:sz w:val="20"/>
          <w:szCs w:val="20"/>
        </w:rPr>
        <w:t>και εν γένει τους κανόνες της τέχνης, άρτια και επιμελημένη εκτέλεση των υπηρεσιών συντήρησης</w:t>
      </w:r>
      <w:r>
        <w:rPr>
          <w:rFonts w:cs="Calibri"/>
          <w:sz w:val="20"/>
          <w:szCs w:val="20"/>
        </w:rPr>
        <w:t xml:space="preserve"> </w:t>
      </w:r>
      <w:r w:rsidRPr="00C50110">
        <w:rPr>
          <w:rFonts w:cs="Calibri"/>
          <w:sz w:val="20"/>
          <w:szCs w:val="20"/>
        </w:rPr>
        <w:t>προσφέρω τις παρακάτω τιμές:</w:t>
      </w:r>
    </w:p>
    <w:p w:rsidR="006D00E9" w:rsidRDefault="006D00E9" w:rsidP="006D00E9">
      <w:pPr>
        <w:rPr>
          <w:rFonts w:ascii="Arial" w:hAnsi="Arial" w:cs="Arial"/>
          <w:bCs/>
          <w:sz w:val="20"/>
          <w:szCs w:val="20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568"/>
        <w:gridCol w:w="850"/>
        <w:gridCol w:w="4108"/>
        <w:gridCol w:w="1279"/>
        <w:gridCol w:w="1984"/>
        <w:gridCol w:w="1701"/>
      </w:tblGrid>
      <w:tr w:rsidR="006D00E9" w:rsidTr="006D00E9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Άρθρο</w:t>
            </w:r>
          </w:p>
        </w:tc>
        <w:tc>
          <w:tcPr>
            <w:tcW w:w="4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Προμηθευόμενο Είδος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Ποσότητα Τεμάχια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Προσφερόμενη Τιμή Μονάδος σε ΕΥΡΩ (Άνευ ΦΠΑ)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Σύνολο Άρθρου σε ΕΥΡΩ</w:t>
            </w:r>
          </w:p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(Άνευ ΦΠΑ)</w:t>
            </w:r>
          </w:p>
        </w:tc>
      </w:tr>
      <w:tr w:rsidR="006D00E9" w:rsidTr="006D00E9">
        <w:trPr>
          <w:trHeight w:val="301"/>
        </w:trPr>
        <w:tc>
          <w:tcPr>
            <w:tcW w:w="104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single"/>
                <w:lang w:val="en-US"/>
              </w:rPr>
              <w:t>ΠΡΟΫΠΟΛΟΓΙΣΜΟΣ</w:t>
            </w: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 xml:space="preserve"> ΠΡΟΣΦΟΡΑΣ ΟΜΑΔΑΣ 1</w:t>
            </w:r>
          </w:p>
        </w:tc>
      </w:tr>
      <w:tr w:rsidR="006D00E9" w:rsidTr="006D00E9">
        <w:trPr>
          <w:trHeight w:val="30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Αυτοκινούμενο Τετράτροχο Όχημα Πλύσης-Στέγνωσης Δαπέδων Κοινοχρήστων Χώρων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6D00E9" w:rsidTr="006D00E9">
        <w:trPr>
          <w:trHeight w:val="67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Ετήσια Συντήρηση για Αυτοκινούμενο Τετράτροχο Όχημα Πλύσης-Στέγνωσης Δαπέδων Κοινοχρήστων Χώρων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6D00E9" w:rsidTr="006D00E9">
        <w:trPr>
          <w:trHeight w:val="50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ΣΥΝΟΛΟ ΟΜΑΔΑΣ 1 (ΑΝΕΥ Φ.Π.Α. 24%) (€):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00E9" w:rsidTr="006D00E9">
        <w:trPr>
          <w:trHeight w:val="50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Φ.Π.Α. 24% (€):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00E9" w:rsidTr="006D00E9">
        <w:trPr>
          <w:trHeight w:val="50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ΣΥΝΟΛΟ ΟΜΑΔΑΣ 1  (ΜΕ Φ.Π.Α. 24%) (€):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00E9" w:rsidTr="006D00E9">
        <w:trPr>
          <w:trHeight w:val="265"/>
        </w:trPr>
        <w:tc>
          <w:tcPr>
            <w:tcW w:w="1049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val="single"/>
                <w:lang w:val="en-US"/>
              </w:rPr>
              <w:t>ΠΡΟΫΠΟΛΟΓΙΣΜΟΣ</w:t>
            </w: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 xml:space="preserve"> ΠΡΟΣΦΟΡΑΣ ΟΜΑΔΑΣ 2</w:t>
            </w:r>
          </w:p>
        </w:tc>
      </w:tr>
      <w:tr w:rsidR="006D00E9" w:rsidTr="006D00E9">
        <w:trPr>
          <w:trHeight w:val="42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Αυτοκινούμενο Τρίτροχο  Αναρροφητικό Σάρωθρο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6D00E9" w:rsidTr="006D00E9">
        <w:trPr>
          <w:trHeight w:val="42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Ετήσιες Υπηρεσίες Συντήρησης για Αυτοκινούμενο Τρίτροχο Αναρροφητικό Σάρωθρο</w:t>
            </w: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6D00E9" w:rsidTr="006D00E9">
        <w:trPr>
          <w:trHeight w:val="345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ΣΥΝΟΛΟ ΟΜΑΔΑΣ 2 (ΑΝΕΥ Φ.Π.Α. 24%) (€):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00E9" w:rsidTr="006D00E9">
        <w:trPr>
          <w:trHeight w:val="253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Φ.Π.Α. 24% (€):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D00E9" w:rsidTr="006D00E9">
        <w:trPr>
          <w:trHeight w:val="317"/>
        </w:trPr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ΣΥΝΟΛΟ ΟΜΑΔΑΣ 2 (ΜΕ Φ.Π.Α. 24%) (€):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0E9" w:rsidRDefault="006D00E9" w:rsidP="00453101">
            <w:pPr>
              <w:widowControl w:val="0"/>
              <w:spacing w:after="0" w:line="240" w:lineRule="auto"/>
              <w:jc w:val="right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D00E9" w:rsidRDefault="006D00E9" w:rsidP="006D00E9">
      <w:pPr>
        <w:rPr>
          <w:rFonts w:ascii="Arial" w:hAnsi="Arial" w:cs="Arial"/>
          <w:bCs/>
          <w:sz w:val="20"/>
          <w:szCs w:val="20"/>
        </w:rPr>
      </w:pPr>
    </w:p>
    <w:p w:rsidR="006D00E9" w:rsidRPr="007A387B" w:rsidRDefault="006D00E9" w:rsidP="006D00E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679D">
        <w:rPr>
          <w:rFonts w:cs="Tahoma"/>
          <w:b/>
          <w:bCs/>
          <w:sz w:val="20"/>
          <w:szCs w:val="20"/>
        </w:rPr>
        <w:t>Αθήνα …………………….202</w:t>
      </w:r>
      <w:r>
        <w:rPr>
          <w:rFonts w:cs="Tahoma"/>
          <w:b/>
          <w:bCs/>
          <w:sz w:val="20"/>
          <w:szCs w:val="20"/>
        </w:rPr>
        <w:t>2</w:t>
      </w:r>
    </w:p>
    <w:p w:rsidR="006D00E9" w:rsidRPr="007A387B" w:rsidRDefault="006D00E9" w:rsidP="006D00E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679D">
        <w:rPr>
          <w:rFonts w:cs="Tahoma"/>
          <w:b/>
          <w:sz w:val="20"/>
          <w:szCs w:val="20"/>
        </w:rPr>
        <w:t>Ο ΠΡΟΣΦΕΡΩΝ</w:t>
      </w:r>
    </w:p>
    <w:p w:rsidR="006D00E9" w:rsidRDefault="006D00E9" w:rsidP="006D00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D00E9" w:rsidRDefault="006D00E9" w:rsidP="006D00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D00E9" w:rsidRDefault="006D00E9" w:rsidP="006D00E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679D">
        <w:rPr>
          <w:rFonts w:cs="Tahoma"/>
          <w:b/>
          <w:bCs/>
          <w:sz w:val="20"/>
          <w:szCs w:val="20"/>
        </w:rPr>
        <w:t>________________</w:t>
      </w:r>
    </w:p>
    <w:p w:rsidR="006D00E9" w:rsidRPr="007A387B" w:rsidRDefault="006D00E9" w:rsidP="006D00E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679D">
        <w:rPr>
          <w:rFonts w:cs="Tahoma"/>
          <w:b/>
          <w:bCs/>
          <w:sz w:val="20"/>
          <w:szCs w:val="20"/>
        </w:rPr>
        <w:t>(Σφραγίδα - Υπογραφή)</w:t>
      </w:r>
    </w:p>
    <w:p w:rsidR="0026375C" w:rsidRDefault="0026375C"/>
    <w:sectPr w:rsidR="0026375C" w:rsidSect="006D00E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D00E9"/>
    <w:rsid w:val="0026375C"/>
    <w:rsid w:val="006D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E9"/>
    <w:rPr>
      <w:rFonts w:ascii="Calibri" w:eastAsia="Times New Roman" w:hAnsi="Calibri" w:cs="Times New Roman"/>
      <w:lang w:eastAsia="el-GR"/>
    </w:rPr>
  </w:style>
  <w:style w:type="paragraph" w:styleId="3">
    <w:name w:val="heading 3"/>
    <w:basedOn w:val="a"/>
    <w:next w:val="a0"/>
    <w:link w:val="3Char"/>
    <w:uiPriority w:val="9"/>
    <w:qFormat/>
    <w:rsid w:val="006D00E9"/>
    <w:pPr>
      <w:keepNext/>
      <w:suppressAutoHyphens/>
      <w:spacing w:after="0" w:line="240" w:lineRule="auto"/>
      <w:outlineLvl w:val="2"/>
    </w:pPr>
    <w:rPr>
      <w:rFonts w:ascii="Times New Roman" w:hAnsi="Times New Roman"/>
      <w:kern w:val="1"/>
      <w:sz w:val="26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Επικεφαλίδα 3 Char"/>
    <w:basedOn w:val="a1"/>
    <w:link w:val="3"/>
    <w:uiPriority w:val="9"/>
    <w:rsid w:val="006D00E9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0">
    <w:name w:val="Body Text"/>
    <w:basedOn w:val="a"/>
    <w:link w:val="Char"/>
    <w:uiPriority w:val="99"/>
    <w:semiHidden/>
    <w:unhideWhenUsed/>
    <w:rsid w:val="006D00E9"/>
    <w:pPr>
      <w:spacing w:after="120"/>
    </w:pPr>
  </w:style>
  <w:style w:type="character" w:customStyle="1" w:styleId="Char">
    <w:name w:val="Σώμα κειμένου Char"/>
    <w:basedOn w:val="a1"/>
    <w:link w:val="a0"/>
    <w:uiPriority w:val="99"/>
    <w:semiHidden/>
    <w:rsid w:val="006D00E9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2023-08-04T10:00:00Z</dcterms:created>
  <dcterms:modified xsi:type="dcterms:W3CDTF">2023-08-04T10:02:00Z</dcterms:modified>
</cp:coreProperties>
</file>